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4962" w:right="-2"/>
        <w:jc w:val="center"/>
      </w:pPr>
      <w:r/>
      <w:bookmarkStart w:id="0" w:name="_GoBack"/>
      <w:r/>
      <w:bookmarkEnd w:id="0"/>
      <w:r>
        <w:rPr>
          <w:sz w:val="28"/>
          <w:szCs w:val="28"/>
        </w:rPr>
        <w:t xml:space="preserve">Приложение № 1</w:t>
      </w:r>
      <w:r/>
    </w:p>
    <w:p>
      <w:pPr>
        <w:contextualSpacing/>
        <w:ind w:left="4962" w:right="-2"/>
        <w:jc w:val="center"/>
      </w:pPr>
      <w:r>
        <w:rPr>
          <w:sz w:val="28"/>
          <w:szCs w:val="28"/>
        </w:rPr>
        <w:t xml:space="preserve">к приказу Министерства образования Приморского края </w:t>
      </w:r>
      <w:r/>
    </w:p>
    <w:p>
      <w:pPr>
        <w:contextualSpacing/>
        <w:ind w:left="4962" w:right="-2"/>
        <w:jc w:val="center"/>
      </w:pPr>
      <w:r>
        <w:rPr>
          <w:sz w:val="28"/>
          <w:szCs w:val="28"/>
        </w:rPr>
        <w:t xml:space="preserve">от ______</w:t>
      </w:r>
      <w:r>
        <w:rPr>
          <w:color w:val="000000"/>
          <w:sz w:val="28"/>
          <w:szCs w:val="28"/>
        </w:rPr>
        <w:t xml:space="preserve">_____№ ______</w:t>
      </w:r>
      <w:r/>
    </w:p>
    <w:p>
      <w:pPr>
        <w:contextualSpacing/>
        <w:ind w:left="4962" w:right="-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right="-2"/>
        <w:jc w:val="center"/>
      </w:pPr>
      <w:r>
        <w:rPr>
          <w:b/>
          <w:sz w:val="28"/>
          <w:szCs w:val="28"/>
        </w:rPr>
        <w:t xml:space="preserve">ПОРЯДОК </w:t>
      </w:r>
      <w:r/>
    </w:p>
    <w:p>
      <w:pPr>
        <w:contextualSpacing/>
        <w:ind w:right="-2"/>
        <w:jc w:val="center"/>
      </w:pPr>
      <w:r>
        <w:rPr>
          <w:b/>
          <w:sz w:val="28"/>
          <w:szCs w:val="28"/>
        </w:rPr>
        <w:t xml:space="preserve">формирования и рассмотрения министерством образования Приморского края материалов об административных правонарушениях, выявленных при про</w:t>
      </w:r>
      <w:r>
        <w:rPr>
          <w:b/>
          <w:color w:val="000000"/>
          <w:sz w:val="28"/>
          <w:szCs w:val="28"/>
        </w:rPr>
        <w:t xml:space="preserve">ведении </w:t>
      </w:r>
      <w:r>
        <w:rPr>
          <w:b/>
          <w:color w:val="000000"/>
          <w:sz w:val="28"/>
          <w:szCs w:val="28"/>
        </w:rPr>
        <w:t xml:space="preserve">государственно</w:t>
      </w:r>
      <w:r>
        <w:rPr>
          <w:b/>
          <w:color w:val="000000"/>
          <w:sz w:val="28"/>
          <w:szCs w:val="28"/>
        </w:rPr>
        <w:t xml:space="preserve">й итоговой аттестации</w:t>
      </w:r>
      <w:r/>
    </w:p>
    <w:p>
      <w:pPr>
        <w:contextualSpacing/>
        <w:ind w:right="-2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по образовательным программам основного общего </w:t>
      </w:r>
      <w:r>
        <w:rPr>
          <w:color w:val="000000"/>
        </w:rPr>
      </w:r>
      <w:r>
        <w:rPr>
          <w:color w:val="000000"/>
        </w:rPr>
      </w:r>
    </w:p>
    <w:p>
      <w:pPr>
        <w:contextualSpacing/>
        <w:ind w:right="-2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и среднего общего образования для составления </w:t>
      </w:r>
      <w:r>
        <w:rPr>
          <w:color w:val="000000"/>
        </w:rPr>
      </w:r>
      <w:r>
        <w:rPr>
          <w:color w:val="000000"/>
        </w:rPr>
      </w:r>
    </w:p>
    <w:p>
      <w:pPr>
        <w:contextualSpacing/>
        <w:ind w:right="-2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протокола </w:t>
      </w:r>
      <w:r>
        <w:rPr>
          <w:b/>
          <w:color w:val="000000"/>
          <w:sz w:val="28"/>
          <w:szCs w:val="28"/>
        </w:rPr>
        <w:t xml:space="preserve">об административном правонарушении</w:t>
      </w:r>
      <w:r>
        <w:rPr>
          <w:color w:val="000000"/>
        </w:rPr>
      </w:r>
      <w:r>
        <w:rPr>
          <w:color w:val="000000"/>
        </w:rPr>
      </w:r>
    </w:p>
    <w:p>
      <w:pPr>
        <w:contextualSpacing/>
        <w:ind w:right="-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right="-2"/>
        <w:jc w:val="center"/>
      </w:pPr>
      <w:r>
        <w:rPr>
          <w:sz w:val="28"/>
          <w:szCs w:val="28"/>
        </w:rPr>
        <w:t xml:space="preserve">1. Общие положения</w:t>
      </w:r>
      <w:r/>
    </w:p>
    <w:p>
      <w:pPr>
        <w:contextualSpacing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1.1. Настоящий Порядок рассмотрения министерством образова</w:t>
      </w:r>
      <w:r>
        <w:rPr>
          <w:sz w:val="28"/>
          <w:szCs w:val="28"/>
        </w:rPr>
        <w:t xml:space="preserve">ния  Приморского края (далее – Министерство) материалов об административных правонарушениях, выявленных при проведении государственной итоговой аттестации по образовательным программам основного общего и среднего общего образования (далее – Порядок), разра</w:t>
      </w:r>
      <w:r>
        <w:rPr>
          <w:sz w:val="28"/>
          <w:szCs w:val="28"/>
        </w:rPr>
        <w:t xml:space="preserve">ботан в целях обеспечения своевременного производства по делам об административных правонарушениях, предусмотренных ч. 4 ст. 19.30 КоАП РФ, осуществляемого Министерством на основании п. 90 ч. 2 ст. 28.3. КоАП РФ.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contextualSpacing/>
        <w:ind w:right="-2" w:firstLine="708"/>
        <w:jc w:val="both"/>
      </w:pPr>
      <w:r>
        <w:rPr>
          <w:sz w:val="28"/>
          <w:szCs w:val="28"/>
        </w:rPr>
        <w:t xml:space="preserve">1.2. Перечень условных обозначений и сокращ</w:t>
      </w:r>
      <w:r>
        <w:rPr>
          <w:sz w:val="28"/>
          <w:szCs w:val="28"/>
        </w:rPr>
        <w:t xml:space="preserve">ений</w:t>
      </w:r>
      <w:r/>
    </w:p>
    <w:p>
      <w:pPr>
        <w:contextualSpacing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645" w:type="dxa"/>
        <w:tblInd w:w="-60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797"/>
        <w:gridCol w:w="7848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97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ГЭК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48" w:type="dxa"/>
            <w:textDirection w:val="lrTb"/>
            <w:noWrap w:val="false"/>
          </w:tcPr>
          <w:p>
            <w:pPr>
              <w:contextualSpacing/>
              <w:ind w:firstLine="31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en-US"/>
              </w:rPr>
              <w:t xml:space="preserve">Государственная экзаменационная комиссия Приморского края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97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ППЭ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48" w:type="dxa"/>
            <w:textDirection w:val="lrTb"/>
            <w:noWrap w:val="false"/>
          </w:tcPr>
          <w:p>
            <w:pPr>
              <w:contextualSpacing/>
              <w:ind w:firstLine="28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en-US"/>
              </w:rPr>
              <w:t xml:space="preserve">Пункт проведения экзаменов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97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ГАУ ДПО ПК ИРО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48" w:type="dxa"/>
            <w:textDirection w:val="lrTb"/>
            <w:noWrap w:val="false"/>
          </w:tcPr>
          <w:p>
            <w:pPr>
              <w:contextualSpacing/>
              <w:ind w:firstLine="28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ГАУ ДПО «Приморский краевой институт развития образования»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97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ГИА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48" w:type="dxa"/>
            <w:textDirection w:val="lrTb"/>
            <w:noWrap w:val="false"/>
          </w:tcPr>
          <w:p>
            <w:pPr>
              <w:contextualSpacing/>
              <w:ind w:firstLine="28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en-US"/>
              </w:rPr>
              <w:t xml:space="preserve">Государственная итоговая аттестация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97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ЕГЭ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48" w:type="dxa"/>
            <w:textDirection w:val="lrTb"/>
            <w:noWrap w:val="false"/>
          </w:tcPr>
          <w:p>
            <w:pPr>
              <w:contextualSpacing/>
              <w:ind w:firstLine="28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en-US"/>
              </w:rPr>
              <w:t xml:space="preserve">Единый государственный экзамен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97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Участники ГИА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48" w:type="dxa"/>
            <w:textDirection w:val="lrTb"/>
            <w:noWrap w:val="false"/>
          </w:tcPr>
          <w:p>
            <w:pPr>
              <w:contextualSpacing/>
              <w:ind w:firstLine="28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en-US"/>
              </w:rPr>
              <w:t xml:space="preserve">Обучающиеся, допущенные в установленном порядке к ГИА; выпускники прошлых лет и другие категории лиц, допущенные к сдаче ЕГЭ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97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en-US"/>
              </w:rPr>
              <w:t xml:space="preserve">КоАП РФ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48" w:type="dxa"/>
            <w:textDirection w:val="lrTb"/>
            <w:noWrap w:val="false"/>
          </w:tcPr>
          <w:p>
            <w:pPr>
              <w:contextualSpacing/>
              <w:ind w:firstLine="28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eastAsia="en-US"/>
              </w:rPr>
              <w:t xml:space="preserve">Кодекс Российской Федерации об административных правонарушениях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8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97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en-US"/>
              </w:rPr>
              <w:t xml:space="preserve">Порядок проведения ГИА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48" w:type="dxa"/>
            <w:textDirection w:val="lrTb"/>
            <w:noWrap w:val="false"/>
          </w:tcPr>
          <w:p>
            <w:pPr>
              <w:contextualSpacing/>
              <w:ind w:firstLine="28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eastAsia="en-US"/>
              </w:rPr>
              <w:t xml:space="preserve">Порядок проведения </w:t>
            </w:r>
            <w:r>
              <w:rPr>
                <w:iCs/>
                <w:sz w:val="28"/>
                <w:szCs w:val="28"/>
                <w:lang w:eastAsia="en-US"/>
              </w:rPr>
              <w:t xml:space="preserve">государственной итоговой аттестации по образовательным программам среднего общего образования (утвержден приказом </w:t>
            </w:r>
            <w:r>
              <w:rPr>
                <w:iCs/>
                <w:sz w:val="28"/>
                <w:szCs w:val="28"/>
                <w:lang w:eastAsia="en-US"/>
              </w:rPr>
              <w:t xml:space="preserve">Минпросвещения</w:t>
            </w:r>
            <w:r>
              <w:rPr>
                <w:iCs/>
                <w:sz w:val="28"/>
                <w:szCs w:val="28"/>
                <w:lang w:eastAsia="en-US"/>
              </w:rPr>
              <w:t xml:space="preserve"> России и Рособрнадзора от 04.04.2023 № 233/552), Порядок проведения государственной итоговой аттестации по образовательным прог</w:t>
            </w:r>
            <w:r>
              <w:rPr>
                <w:iCs/>
                <w:sz w:val="28"/>
                <w:szCs w:val="28"/>
                <w:lang w:eastAsia="en-US"/>
              </w:rPr>
              <w:t xml:space="preserve">раммам основного общего образования (утвержден приказом </w:t>
            </w:r>
            <w:r>
              <w:rPr>
                <w:iCs/>
                <w:sz w:val="28"/>
                <w:szCs w:val="28"/>
                <w:lang w:eastAsia="en-US"/>
              </w:rPr>
              <w:t xml:space="preserve">Минпросвещения</w:t>
            </w:r>
            <w:r>
              <w:rPr>
                <w:iCs/>
                <w:sz w:val="28"/>
                <w:szCs w:val="28"/>
                <w:lang w:eastAsia="en-US"/>
              </w:rPr>
              <w:t xml:space="preserve"> России и Рособрнадзора от 04.04.2023 № 233/551).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</w:pPr>
      <w:r>
        <w:rPr>
          <w:sz w:val="28"/>
          <w:szCs w:val="28"/>
        </w:rPr>
        <w:t xml:space="preserve">2. Порядок подготовки материалов</w:t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</w:pPr>
      <w:r>
        <w:rPr>
          <w:sz w:val="28"/>
          <w:szCs w:val="28"/>
        </w:rPr>
        <w:t xml:space="preserve">2.1. </w:t>
      </w:r>
      <w:r>
        <w:rPr>
          <w:color w:val="000000"/>
          <w:sz w:val="28"/>
          <w:szCs w:val="28"/>
        </w:rPr>
        <w:t xml:space="preserve">Ф</w:t>
      </w:r>
      <w:r>
        <w:rPr>
          <w:color w:val="000000"/>
          <w:sz w:val="28"/>
          <w:szCs w:val="28"/>
        </w:rPr>
        <w:t xml:space="preserve">ормирование пакета документов о выявленном нарушении в ППЭ </w:t>
      </w:r>
      <w:r>
        <w:rPr>
          <w:color w:val="000000"/>
          <w:sz w:val="28"/>
          <w:szCs w:val="28"/>
        </w:rPr>
        <w:t xml:space="preserve">в отношении лиц, нарушивших Поряд</w:t>
      </w:r>
      <w:r>
        <w:rPr>
          <w:color w:val="000000"/>
          <w:sz w:val="28"/>
          <w:szCs w:val="28"/>
        </w:rPr>
        <w:t xml:space="preserve">ок ГИА-9/Порядок ГИА-11 (участники ГИА, лица, привлекаемые к проведению экзамена), </w:t>
      </w:r>
      <w:r>
        <w:rPr>
          <w:color w:val="000000"/>
          <w:sz w:val="28"/>
          <w:szCs w:val="28"/>
        </w:rPr>
        <w:t xml:space="preserve">дополнительных документов участников, ставших очевидцами нарушения, предоставляется в министерство образования Приморского края в день в</w:t>
      </w:r>
      <w:r>
        <w:rPr>
          <w:color w:val="000000"/>
          <w:sz w:val="28"/>
          <w:szCs w:val="28"/>
        </w:rPr>
        <w:t xml:space="preserve">ыявления совершения административного</w:t>
      </w:r>
      <w:r>
        <w:rPr>
          <w:color w:val="000000"/>
          <w:sz w:val="28"/>
          <w:szCs w:val="28"/>
        </w:rPr>
        <w:t xml:space="preserve"> правонарушения. </w:t>
      </w:r>
      <w:r/>
    </w:p>
    <w:p>
      <w:pPr>
        <w:contextualSpacing/>
        <w:ind w:firstLine="709"/>
        <w:jc w:val="both"/>
      </w:pPr>
      <w:r>
        <w:rPr>
          <w:sz w:val="28"/>
          <w:szCs w:val="28"/>
        </w:rPr>
        <w:t xml:space="preserve">2.1.1. При выявлении нарушения Порядка проведения ГИА в ППЭ одновременно с актом об удалении участника ГИА (</w:t>
      </w:r>
      <w:r>
        <w:rPr>
          <w:color w:val="000000"/>
          <w:sz w:val="28"/>
          <w:szCs w:val="28"/>
        </w:rPr>
        <w:t xml:space="preserve">лица, привлекаемого к проведению экзамена</w:t>
      </w:r>
      <w:r>
        <w:rPr>
          <w:sz w:val="28"/>
          <w:szCs w:val="28"/>
        </w:rPr>
        <w:t xml:space="preserve">) заполняется уведомление о времени и месте составления протокола об административном пра</w:t>
      </w:r>
      <w:r>
        <w:rPr>
          <w:sz w:val="28"/>
          <w:szCs w:val="28"/>
        </w:rPr>
        <w:t xml:space="preserve">вонарушении по форме согласно приложению № 3. Уведомление составляется в двух экземплярах, один из которых вручается удаленному лицу. </w:t>
      </w:r>
      <w:r/>
    </w:p>
    <w:p>
      <w:pPr>
        <w:contextualSpacing/>
        <w:ind w:firstLine="709"/>
        <w:jc w:val="both"/>
      </w:pPr>
      <w:r>
        <w:rPr>
          <w:sz w:val="28"/>
          <w:szCs w:val="28"/>
        </w:rPr>
        <w:t xml:space="preserve">2.1.2. В ходе процедуры удаления формируется следующий пакет документов:</w:t>
      </w:r>
      <w:r/>
    </w:p>
    <w:p>
      <w:pPr>
        <w:contextualSpacing/>
        <w:ind w:firstLine="709"/>
        <w:jc w:val="both"/>
      </w:pPr>
      <w:r>
        <w:rPr>
          <w:sz w:val="28"/>
          <w:szCs w:val="28"/>
        </w:rPr>
        <w:t xml:space="preserve">1) Акт об удалении участника ГИА, либо Акт об уд</w:t>
      </w:r>
      <w:r>
        <w:rPr>
          <w:sz w:val="28"/>
          <w:szCs w:val="28"/>
        </w:rPr>
        <w:t xml:space="preserve">алении лица, привлекаемого к проведению ГИА, либо Акт об удалении лица, имеющего право находиться в день экзамена в ППЭ (формы: ППЭ-21, ППЭ-21-П2, ППЭ-21-П3);</w:t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Уведомление о времени и месте составления протокола об административном правонарушении, подпис</w:t>
      </w:r>
      <w:r>
        <w:rPr>
          <w:sz w:val="28"/>
          <w:szCs w:val="28"/>
        </w:rPr>
        <w:t xml:space="preserve">анное удаленным лицом (дата явки в Министерство проставляется в соответствии с графиком рассмотрения материалов исходя из даты проведения экзамена*, приложение №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</w:pPr>
      <w:r>
        <w:rPr>
          <w:sz w:val="28"/>
          <w:szCs w:val="28"/>
        </w:rPr>
        <w:t xml:space="preserve">3) объяснения удаленного лица и иных лиц по обстоятельствам выявленного нарушения (членов </w:t>
      </w:r>
      <w:r>
        <w:rPr>
          <w:sz w:val="28"/>
          <w:szCs w:val="28"/>
        </w:rPr>
        <w:t xml:space="preserve">ГЭК, руководителя ППЭ, общественных наблюдателей и др. (</w:t>
      </w:r>
      <w:r>
        <w:rPr>
          <w:sz w:val="28"/>
          <w:szCs w:val="28"/>
        </w:rPr>
        <w:t xml:space="preserve">формы:  ППЭ</w:t>
      </w:r>
      <w:r>
        <w:rPr>
          <w:sz w:val="28"/>
          <w:szCs w:val="28"/>
        </w:rPr>
        <w:t xml:space="preserve">-21-П1, ППЭ-25, ППЭ-26); </w:t>
      </w:r>
      <w:r/>
    </w:p>
    <w:p>
      <w:pPr>
        <w:contextualSpacing/>
        <w:ind w:firstLine="709"/>
        <w:jc w:val="both"/>
      </w:pPr>
      <w:r>
        <w:rPr>
          <w:sz w:val="28"/>
          <w:szCs w:val="28"/>
        </w:rPr>
        <w:t xml:space="preserve">4) копия паспорта удаленного лица (с регистрацией места жительства);</w:t>
      </w:r>
      <w:r/>
    </w:p>
    <w:p>
      <w:pPr>
        <w:contextualSpacing/>
        <w:ind w:firstLine="709"/>
        <w:jc w:val="both"/>
      </w:pPr>
      <w:r>
        <w:rPr>
          <w:sz w:val="28"/>
          <w:szCs w:val="28"/>
        </w:rPr>
        <w:t xml:space="preserve">5) копии </w:t>
      </w:r>
      <w:r>
        <w:rPr>
          <w:sz w:val="28"/>
          <w:szCs w:val="28"/>
        </w:rPr>
        <w:t xml:space="preserve">форм:  ППЭ</w:t>
      </w:r>
      <w:r>
        <w:rPr>
          <w:sz w:val="28"/>
          <w:szCs w:val="28"/>
        </w:rPr>
        <w:t xml:space="preserve">-05-02-К,  ППЭ-07,  ППЭ-12-04-МАШ,  ППЭ-19.</w:t>
      </w:r>
      <w:r/>
    </w:p>
    <w:p>
      <w:pPr>
        <w:contextualSpacing/>
        <w:ind w:firstLine="709"/>
        <w:jc w:val="both"/>
      </w:pPr>
      <w:r>
        <w:rPr>
          <w:sz w:val="28"/>
          <w:szCs w:val="28"/>
        </w:rPr>
        <w:t xml:space="preserve">В случае, если удаленный участн</w:t>
      </w:r>
      <w:r>
        <w:rPr>
          <w:sz w:val="28"/>
          <w:szCs w:val="28"/>
        </w:rPr>
        <w:t xml:space="preserve">ик ГИА является несовершеннолетним, в объяснительной данного лица отражаются сведения о его законном представителе (ФИО, адрес места жительства, контактный телефон, адрес электронной почты).</w:t>
      </w:r>
      <w:r/>
    </w:p>
    <w:p>
      <w:pPr>
        <w:contextualSpacing/>
        <w:ind w:firstLine="709"/>
        <w:jc w:val="both"/>
      </w:pPr>
      <w:r>
        <w:rPr>
          <w:sz w:val="28"/>
          <w:szCs w:val="28"/>
        </w:rPr>
        <w:t xml:space="preserve">2.1.3. Указанный в подпункте 2.1.2. пакет документов формируется </w:t>
      </w:r>
      <w:r>
        <w:rPr>
          <w:sz w:val="28"/>
          <w:szCs w:val="28"/>
        </w:rPr>
        <w:t xml:space="preserve">в день проведения экзамена.</w:t>
      </w:r>
      <w:r/>
    </w:p>
    <w:p>
      <w:pPr>
        <w:contextualSpacing/>
        <w:ind w:firstLine="709"/>
        <w:jc w:val="both"/>
      </w:pPr>
      <w:r>
        <w:rPr>
          <w:sz w:val="28"/>
          <w:szCs w:val="28"/>
        </w:rPr>
        <w:t xml:space="preserve">2.1.4. Копии указанных в подпункте 2.1.2 документов направля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тся в Министерство в день проведения экзамена в электронном (сканированном) виде по защищенным каналам связи </w:t>
      </w:r>
      <w:r>
        <w:rPr>
          <w:sz w:val="28"/>
          <w:szCs w:val="28"/>
        </w:rPr>
        <w:t xml:space="preserve">ViPNet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right="-2" w:firstLine="709"/>
        <w:jc w:val="both"/>
      </w:pPr>
      <w:r>
        <w:rPr>
          <w:sz w:val="28"/>
          <w:szCs w:val="28"/>
        </w:rPr>
        <w:t xml:space="preserve">2.2. Рассмотрение материалов об административных правонарушениях</w:t>
      </w:r>
      <w:r>
        <w:rPr>
          <w:i/>
          <w:sz w:val="28"/>
          <w:szCs w:val="28"/>
        </w:rPr>
        <w:t xml:space="preserve">.</w:t>
      </w:r>
      <w:r/>
    </w:p>
    <w:p>
      <w:pPr>
        <w:contextualSpacing/>
        <w:jc w:val="both"/>
      </w:pPr>
      <w:r>
        <w:rPr>
          <w:sz w:val="28"/>
          <w:szCs w:val="28"/>
        </w:rPr>
        <w:tab/>
        <w:t xml:space="preserve">2.2.1. На основании поступившего из ППЭ или </w:t>
      </w:r>
      <w:r>
        <w:rPr>
          <w:sz w:val="28"/>
        </w:rPr>
        <w:t xml:space="preserve">ГАУ ДПО ПК ИРО</w:t>
      </w:r>
      <w:r>
        <w:rPr>
          <w:sz w:val="28"/>
          <w:szCs w:val="28"/>
        </w:rPr>
        <w:t xml:space="preserve"> пакета документов сотрудниками отдела по контролю, надзору, лицензиров</w:t>
      </w:r>
      <w:r>
        <w:rPr>
          <w:sz w:val="28"/>
          <w:szCs w:val="28"/>
        </w:rPr>
        <w:t xml:space="preserve">анию и аккредитации в сфере образования Министерства не позднее рабочего дня, следующего за днем поступления пакета документов, осуществляется его проверка на предмет соответствия поступившей информации требованиям статей 28.2. и 24.5. КоАП РФ. При необход</w:t>
      </w:r>
      <w:r>
        <w:rPr>
          <w:sz w:val="28"/>
          <w:szCs w:val="28"/>
        </w:rPr>
        <w:t xml:space="preserve">имости принимаются меры к сбору дополнительных доказательств, вызову свидетелей, законного представителя и пр.</w:t>
      </w:r>
      <w:r/>
    </w:p>
    <w:p>
      <w:pPr>
        <w:contextualSpacing/>
        <w:jc w:val="both"/>
      </w:pPr>
      <w:r>
        <w:rPr>
          <w:sz w:val="28"/>
          <w:szCs w:val="28"/>
        </w:rPr>
        <w:tab/>
        <w:t xml:space="preserve">2.2.2. В случае полноты пакета документов и содержащейся в нем информации, указывающих на признаки события административного правонарушения, в п</w:t>
      </w:r>
      <w:r>
        <w:rPr>
          <w:sz w:val="28"/>
          <w:szCs w:val="28"/>
        </w:rPr>
        <w:t xml:space="preserve">рисутствии лица, привлекаемого к административной ответственности, и его законного представителя (в случае если лицо, привлекаемое к административной ответственности, является несовершеннолетним) составляется протокол об административном правонарушении, пр</w:t>
      </w:r>
      <w:r>
        <w:rPr>
          <w:sz w:val="28"/>
          <w:szCs w:val="28"/>
        </w:rPr>
        <w:t xml:space="preserve">едусмотренном частью 4 статьи 19.30 КоАП РФ. </w:t>
      </w:r>
      <w:r/>
    </w:p>
    <w:p>
      <w:pPr>
        <w:contextualSpacing/>
        <w:ind w:firstLine="709"/>
        <w:jc w:val="both"/>
      </w:pPr>
      <w:r>
        <w:rPr>
          <w:sz w:val="28"/>
          <w:szCs w:val="28"/>
        </w:rPr>
        <w:t xml:space="preserve">В отсутствие вышеуказанных лиц протокол об административном правонарушении составляется лишь при наличии сведений о надлежащем извещении участников производства о времени и месте составления протокола об админи</w:t>
      </w:r>
      <w:r>
        <w:rPr>
          <w:sz w:val="28"/>
          <w:szCs w:val="28"/>
        </w:rPr>
        <w:t xml:space="preserve">стративном правонарушении. </w:t>
      </w:r>
      <w:r/>
    </w:p>
    <w:p>
      <w:pPr>
        <w:contextualSpacing/>
        <w:jc w:val="both"/>
      </w:pPr>
      <w:r>
        <w:rPr>
          <w:sz w:val="28"/>
          <w:szCs w:val="28"/>
        </w:rPr>
        <w:tab/>
        <w:t xml:space="preserve">2.2.3. При наличии оснований, предусмотренных статьей 24.5. КоАП РФ, выносится определение об отказе в возбуждении дела об административном правонарушении. </w:t>
      </w:r>
      <w:r/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568" w:right="850" w:bottom="177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Tahoma">
    <w:panose1 w:val="020B0604030504040204"/>
  </w:font>
  <w:font w:name="Liberation Serif">
    <w:panose1 w:val="020206030504050203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6">
    <w:name w:val="Heading 1"/>
    <w:basedOn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95"/>
    <w:qFormat/>
    <w:pPr>
      <w:spacing w:before="120" w:after="60"/>
      <w:outlineLvl w:val="4"/>
    </w:pPr>
    <w:rPr>
      <w:rFonts w:ascii="Liberation Serif" w:hAnsi="Liberation Serif" w:eastAsia="Tahoma" w:cs="Tahoma"/>
      <w:b/>
      <w:bCs/>
      <w:sz w:val="20"/>
      <w:szCs w:val="20"/>
    </w:rPr>
  </w:style>
  <w:style w:type="paragraph" w:styleId="661">
    <w:name w:val="Heading 6"/>
    <w:basedOn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2">
    <w:name w:val="Heading 7"/>
    <w:basedOn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3">
    <w:name w:val="Heading 8"/>
    <w:basedOn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4">
    <w:name w:val="Heading 9"/>
    <w:basedOn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>
    <w:name w:val="Hyperlink"/>
    <w:uiPriority w:val="99"/>
    <w:unhideWhenUsed/>
    <w:rPr>
      <w:color w:val="0563c1" w:themeColor="hyperlink"/>
      <w:u w:val="single"/>
    </w:rPr>
  </w:style>
  <w:style w:type="character" w:styleId="669" w:customStyle="1">
    <w:name w:val="Символ сноски"/>
    <w:basedOn w:val="665"/>
    <w:uiPriority w:val="99"/>
    <w:unhideWhenUsed/>
    <w:qFormat/>
    <w:rPr>
      <w:vertAlign w:val="superscript"/>
    </w:rPr>
  </w:style>
  <w:style w:type="character" w:styleId="670">
    <w:name w:val="footnote reference"/>
    <w:rPr>
      <w:vertAlign w:val="superscript"/>
    </w:rPr>
  </w:style>
  <w:style w:type="character" w:styleId="671" w:customStyle="1">
    <w:name w:val="Символ концевой сноски"/>
    <w:basedOn w:val="665"/>
    <w:uiPriority w:val="99"/>
    <w:semiHidden/>
    <w:unhideWhenUsed/>
    <w:qFormat/>
    <w:rPr>
      <w:vertAlign w:val="superscript"/>
    </w:rPr>
  </w:style>
  <w:style w:type="character" w:styleId="672">
    <w:name w:val="endnote reference"/>
    <w:rPr>
      <w:vertAlign w:val="superscript"/>
    </w:rPr>
  </w:style>
  <w:style w:type="character" w:styleId="673" w:customStyle="1">
    <w:name w:val="Heading 1 Char"/>
    <w:basedOn w:val="665"/>
    <w:uiPriority w:val="9"/>
    <w:qFormat/>
    <w:rPr>
      <w:rFonts w:ascii="Arial" w:hAnsi="Arial" w:eastAsia="Arial" w:cs="Arial"/>
      <w:sz w:val="40"/>
      <w:szCs w:val="40"/>
    </w:rPr>
  </w:style>
  <w:style w:type="character" w:styleId="674" w:customStyle="1">
    <w:name w:val="Heading 2 Char"/>
    <w:basedOn w:val="665"/>
    <w:uiPriority w:val="9"/>
    <w:qFormat/>
    <w:rPr>
      <w:rFonts w:ascii="Arial" w:hAnsi="Arial" w:eastAsia="Arial" w:cs="Arial"/>
      <w:sz w:val="34"/>
    </w:rPr>
  </w:style>
  <w:style w:type="character" w:styleId="675" w:customStyle="1">
    <w:name w:val="Heading 3 Char"/>
    <w:basedOn w:val="665"/>
    <w:uiPriority w:val="9"/>
    <w:qFormat/>
    <w:rPr>
      <w:rFonts w:ascii="Arial" w:hAnsi="Arial" w:eastAsia="Arial" w:cs="Arial"/>
      <w:sz w:val="30"/>
      <w:szCs w:val="30"/>
    </w:rPr>
  </w:style>
  <w:style w:type="character" w:styleId="676" w:customStyle="1">
    <w:name w:val="Heading 4 Char"/>
    <w:basedOn w:val="66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7" w:customStyle="1">
    <w:name w:val="Heading 5 Char"/>
    <w:basedOn w:val="66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8" w:customStyle="1">
    <w:name w:val="Heading 6 Char"/>
    <w:basedOn w:val="66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9" w:customStyle="1">
    <w:name w:val="Heading 7 Char"/>
    <w:basedOn w:val="66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0" w:customStyle="1">
    <w:name w:val="Heading 8 Char"/>
    <w:basedOn w:val="66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1" w:customStyle="1">
    <w:name w:val="Heading 9 Char"/>
    <w:basedOn w:val="66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2" w:customStyle="1">
    <w:name w:val="Title Char"/>
    <w:basedOn w:val="665"/>
    <w:uiPriority w:val="10"/>
    <w:qFormat/>
    <w:rPr>
      <w:sz w:val="48"/>
      <w:szCs w:val="48"/>
    </w:rPr>
  </w:style>
  <w:style w:type="character" w:styleId="683" w:customStyle="1">
    <w:name w:val="Subtitle Char"/>
    <w:basedOn w:val="665"/>
    <w:uiPriority w:val="11"/>
    <w:qFormat/>
    <w:rPr>
      <w:sz w:val="24"/>
      <w:szCs w:val="24"/>
    </w:rPr>
  </w:style>
  <w:style w:type="character" w:styleId="684" w:customStyle="1">
    <w:name w:val="Quote Char"/>
    <w:uiPriority w:val="29"/>
    <w:qFormat/>
    <w:rPr>
      <w:i/>
    </w:rPr>
  </w:style>
  <w:style w:type="character" w:styleId="685" w:customStyle="1">
    <w:name w:val="Intense Quote Char"/>
    <w:uiPriority w:val="30"/>
    <w:qFormat/>
    <w:rPr>
      <w:i/>
    </w:rPr>
  </w:style>
  <w:style w:type="character" w:styleId="686" w:customStyle="1">
    <w:name w:val="Header Char"/>
    <w:basedOn w:val="665"/>
    <w:uiPriority w:val="99"/>
    <w:qFormat/>
  </w:style>
  <w:style w:type="character" w:styleId="687" w:customStyle="1">
    <w:name w:val="Footer Char"/>
    <w:basedOn w:val="665"/>
    <w:uiPriority w:val="99"/>
    <w:qFormat/>
  </w:style>
  <w:style w:type="character" w:styleId="688" w:customStyle="1">
    <w:name w:val="Caption Char"/>
    <w:uiPriority w:val="99"/>
    <w:qFormat/>
  </w:style>
  <w:style w:type="character" w:styleId="689" w:customStyle="1">
    <w:name w:val="Footnote Text Char"/>
    <w:uiPriority w:val="99"/>
    <w:qFormat/>
    <w:rPr>
      <w:sz w:val="18"/>
    </w:rPr>
  </w:style>
  <w:style w:type="character" w:styleId="690" w:customStyle="1">
    <w:name w:val="Footnote Characters"/>
    <w:uiPriority w:val="99"/>
    <w:unhideWhenUsed/>
    <w:qFormat/>
    <w:rPr>
      <w:vertAlign w:val="superscript"/>
    </w:rPr>
  </w:style>
  <w:style w:type="character" w:styleId="691" w:customStyle="1">
    <w:name w:val="Endnote Text Char"/>
    <w:uiPriority w:val="99"/>
    <w:qFormat/>
    <w:rPr>
      <w:sz w:val="20"/>
    </w:rPr>
  </w:style>
  <w:style w:type="character" w:styleId="692" w:customStyle="1">
    <w:name w:val="Endnote Characters"/>
    <w:uiPriority w:val="99"/>
    <w:semiHidden/>
    <w:unhideWhenUsed/>
    <w:qFormat/>
    <w:rPr>
      <w:vertAlign w:val="superscript"/>
    </w:rPr>
  </w:style>
  <w:style w:type="character" w:styleId="693" w:customStyle="1">
    <w:name w:val="Верхний колонтитул Знак"/>
    <w:basedOn w:val="665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4" w:customStyle="1">
    <w:name w:val="Нижний колонтитул Знак"/>
    <w:basedOn w:val="665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5">
    <w:name w:val="Title"/>
    <w:basedOn w:val="655"/>
    <w:next w:val="69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6">
    <w:name w:val="Body Text"/>
    <w:basedOn w:val="655"/>
    <w:pPr>
      <w:spacing w:after="140" w:line="276" w:lineRule="auto"/>
    </w:pPr>
  </w:style>
  <w:style w:type="paragraph" w:styleId="697">
    <w:name w:val="List"/>
    <w:basedOn w:val="696"/>
    <w:rPr>
      <w:rFonts w:ascii="PT Astra Serif" w:hAnsi="PT Astra Serif" w:cs="Noto Sans Devanagari"/>
    </w:rPr>
  </w:style>
  <w:style w:type="paragraph" w:styleId="698">
    <w:name w:val="Caption"/>
    <w:basedOn w:val="655"/>
    <w:link w:val="688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699">
    <w:name w:val="index heading"/>
    <w:basedOn w:val="695"/>
  </w:style>
  <w:style w:type="paragraph" w:styleId="700">
    <w:name w:val="List Paragraph"/>
    <w:basedOn w:val="655"/>
    <w:uiPriority w:val="34"/>
    <w:qFormat/>
    <w:pPr>
      <w:contextualSpacing/>
      <w:ind w:left="720"/>
    </w:pPr>
  </w:style>
  <w:style w:type="paragraph" w:styleId="701">
    <w:name w:val="No Spacing"/>
    <w:uiPriority w:val="1"/>
    <w:qFormat/>
  </w:style>
  <w:style w:type="paragraph" w:styleId="702">
    <w:name w:val="Subtitle"/>
    <w:basedOn w:val="655"/>
    <w:uiPriority w:val="11"/>
    <w:qFormat/>
    <w:pPr>
      <w:spacing w:before="200" w:after="200"/>
    </w:pPr>
  </w:style>
  <w:style w:type="paragraph" w:styleId="703">
    <w:name w:val="Quote"/>
    <w:basedOn w:val="655"/>
    <w:uiPriority w:val="29"/>
    <w:qFormat/>
    <w:pPr>
      <w:ind w:left="720" w:right="720"/>
    </w:pPr>
    <w:rPr>
      <w:i/>
    </w:rPr>
  </w:style>
  <w:style w:type="paragraph" w:styleId="704">
    <w:name w:val="Intense Quote"/>
    <w:basedOn w:val="6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5">
    <w:name w:val="footnote text"/>
    <w:basedOn w:val="655"/>
    <w:uiPriority w:val="99"/>
    <w:semiHidden/>
    <w:unhideWhenUsed/>
    <w:pPr>
      <w:spacing w:after="40"/>
    </w:pPr>
    <w:rPr>
      <w:sz w:val="18"/>
    </w:rPr>
  </w:style>
  <w:style w:type="paragraph" w:styleId="706">
    <w:name w:val="endnote text"/>
    <w:basedOn w:val="655"/>
    <w:uiPriority w:val="99"/>
    <w:semiHidden/>
    <w:unhideWhenUsed/>
    <w:rPr>
      <w:sz w:val="20"/>
    </w:rPr>
  </w:style>
  <w:style w:type="paragraph" w:styleId="707">
    <w:name w:val="toc 1"/>
    <w:basedOn w:val="655"/>
    <w:uiPriority w:val="39"/>
    <w:unhideWhenUsed/>
    <w:pPr>
      <w:spacing w:after="57"/>
    </w:pPr>
  </w:style>
  <w:style w:type="paragraph" w:styleId="708">
    <w:name w:val="toc 2"/>
    <w:basedOn w:val="655"/>
    <w:uiPriority w:val="39"/>
    <w:unhideWhenUsed/>
    <w:pPr>
      <w:ind w:left="283"/>
      <w:spacing w:after="57"/>
    </w:pPr>
  </w:style>
  <w:style w:type="paragraph" w:styleId="709">
    <w:name w:val="toc 3"/>
    <w:basedOn w:val="655"/>
    <w:uiPriority w:val="39"/>
    <w:unhideWhenUsed/>
    <w:pPr>
      <w:ind w:left="567"/>
      <w:spacing w:after="57"/>
    </w:pPr>
  </w:style>
  <w:style w:type="paragraph" w:styleId="710">
    <w:name w:val="toc 4"/>
    <w:basedOn w:val="655"/>
    <w:uiPriority w:val="39"/>
    <w:unhideWhenUsed/>
    <w:pPr>
      <w:ind w:left="850"/>
      <w:spacing w:after="57"/>
    </w:pPr>
  </w:style>
  <w:style w:type="paragraph" w:styleId="711">
    <w:name w:val="toc 5"/>
    <w:basedOn w:val="655"/>
    <w:uiPriority w:val="39"/>
    <w:unhideWhenUsed/>
    <w:pPr>
      <w:ind w:left="1134"/>
      <w:spacing w:after="57"/>
    </w:pPr>
  </w:style>
  <w:style w:type="paragraph" w:styleId="712">
    <w:name w:val="toc 6"/>
    <w:basedOn w:val="655"/>
    <w:uiPriority w:val="39"/>
    <w:unhideWhenUsed/>
    <w:pPr>
      <w:ind w:left="1417"/>
      <w:spacing w:after="57"/>
    </w:pPr>
  </w:style>
  <w:style w:type="paragraph" w:styleId="713">
    <w:name w:val="toc 7"/>
    <w:basedOn w:val="655"/>
    <w:uiPriority w:val="39"/>
    <w:unhideWhenUsed/>
    <w:pPr>
      <w:ind w:left="1701"/>
      <w:spacing w:after="57"/>
    </w:pPr>
  </w:style>
  <w:style w:type="paragraph" w:styleId="714">
    <w:name w:val="toc 8"/>
    <w:basedOn w:val="655"/>
    <w:uiPriority w:val="39"/>
    <w:unhideWhenUsed/>
    <w:pPr>
      <w:ind w:left="1984"/>
      <w:spacing w:after="57"/>
    </w:pPr>
  </w:style>
  <w:style w:type="paragraph" w:styleId="715">
    <w:name w:val="toc 9"/>
    <w:basedOn w:val="655"/>
    <w:uiPriority w:val="39"/>
    <w:unhideWhenUsed/>
    <w:pPr>
      <w:ind w:left="2268"/>
      <w:spacing w:after="57"/>
    </w:pPr>
  </w:style>
  <w:style w:type="paragraph" w:styleId="716">
    <w:name w:val="TOC Heading"/>
    <w:uiPriority w:val="39"/>
    <w:unhideWhenUsed/>
    <w:qFormat/>
  </w:style>
  <w:style w:type="paragraph" w:styleId="717">
    <w:name w:val="table of figures"/>
    <w:basedOn w:val="655"/>
    <w:uiPriority w:val="99"/>
    <w:unhideWhenUsed/>
    <w:qFormat/>
  </w:style>
  <w:style w:type="paragraph" w:styleId="718" w:customStyle="1">
    <w:name w:val="Верхний и нижний колонтитулы"/>
    <w:basedOn w:val="655"/>
    <w:qFormat/>
  </w:style>
  <w:style w:type="paragraph" w:styleId="719" w:customStyle="1">
    <w:name w:val="Колонтитул"/>
    <w:basedOn w:val="655"/>
    <w:qFormat/>
  </w:style>
  <w:style w:type="paragraph" w:styleId="720">
    <w:name w:val="Header"/>
    <w:basedOn w:val="655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21">
    <w:name w:val="Footer"/>
    <w:basedOn w:val="655"/>
    <w:uiPriority w:val="99"/>
    <w:unhideWhenUsed/>
    <w:pPr>
      <w:tabs>
        <w:tab w:val="center" w:pos="4677" w:leader="none"/>
        <w:tab w:val="right" w:pos="9355" w:leader="none"/>
      </w:tabs>
    </w:pPr>
  </w:style>
  <w:style w:type="table" w:styleId="722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5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6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752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753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754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755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6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7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764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5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6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7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8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9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0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1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6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787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788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789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790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791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7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8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9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0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1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2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3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4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5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816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817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818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819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820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8" w:customStyle="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29" w:customStyle="1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30" w:customStyle="1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1" w:customStyle="1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32" w:customStyle="1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3" w:customStyle="1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4" w:customStyle="1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5" w:customStyle="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36" w:customStyle="1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37" w:customStyle="1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8" w:customStyle="1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39" w:customStyle="1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40" w:customStyle="1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41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2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3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844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845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846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847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APK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Дмитрий Валерьевич</dc:creator>
  <dc:description/>
  <dc:language>ru-RU</dc:language>
  <cp:lastModifiedBy>davydov_dm</cp:lastModifiedBy>
  <cp:revision>5</cp:revision>
  <dcterms:created xsi:type="dcterms:W3CDTF">2026-03-16T22:21:00Z</dcterms:created>
  <dcterms:modified xsi:type="dcterms:W3CDTF">2026-03-19T01:45:54Z</dcterms:modified>
</cp:coreProperties>
</file>